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2" w:rsidRDefault="00603322" w:rsidP="00603322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603322" w:rsidRDefault="00603322" w:rsidP="00603322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603322" w:rsidRPr="00603322" w:rsidRDefault="00603322" w:rsidP="00603322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603322">
        <w:rPr>
          <w:rFonts w:ascii="Arial" w:hAnsi="Arial" w:cs="Arial"/>
          <w:b/>
          <w:bCs/>
          <w:color w:val="000000"/>
          <w:sz w:val="28"/>
          <w:szCs w:val="28"/>
        </w:rPr>
        <w:t>Критерии доступности и качества медицинской помощи</w:t>
      </w:r>
    </w:p>
    <w:p w:rsidR="00603322" w:rsidRDefault="00603322" w:rsidP="00603322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603322" w:rsidRDefault="00603322" w:rsidP="00603322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:rsidR="00603322" w:rsidRDefault="00603322" w:rsidP="00603322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603322" w:rsidRDefault="00603322" w:rsidP="00603322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КРИТЕРИИ КАЧЕСТВА МЕДИЦИНСКОЙ ПОМОЩИ</w:t>
      </w:r>
    </w:p>
    <w:p w:rsidR="002F4D90" w:rsidRDefault="002F4D90">
      <w:bookmarkStart w:id="0" w:name="_GoBack"/>
      <w:bookmarkEnd w:id="0"/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7498"/>
        <w:gridCol w:w="1701"/>
        <w:gridCol w:w="1843"/>
        <w:gridCol w:w="3118"/>
      </w:tblGrid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603322" w:rsidRPr="00603322" w:rsidTr="00603322">
        <w:trPr>
          <w:trHeight w:val="707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proofErr w:type="gram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99,0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часов от начала заболевания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603322" w:rsidRPr="00603322" w:rsidTr="00603322">
        <w:trPr>
          <w:trHeight w:val="1969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03322" w:rsidRPr="00603322" w:rsidTr="00603322">
        <w:trPr>
          <w:trHeight w:val="92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</w:tbl>
    <w:p w:rsidR="00603322" w:rsidRPr="00603322" w:rsidRDefault="00603322" w:rsidP="006033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22" w:rsidRPr="00603322" w:rsidRDefault="00603322" w:rsidP="006033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03322" w:rsidRPr="00603322" w:rsidRDefault="00603322" w:rsidP="006033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22" w:rsidRPr="00603322" w:rsidRDefault="00603322" w:rsidP="006033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22" w:rsidRPr="00603322" w:rsidRDefault="00603322" w:rsidP="006033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ДОСТУПНОСТИ МЕДИЦИНСКОЙ ПОМОЩИ</w:t>
      </w:r>
    </w:p>
    <w:p w:rsidR="00603322" w:rsidRPr="00603322" w:rsidRDefault="00603322" w:rsidP="006033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7782"/>
        <w:gridCol w:w="1842"/>
        <w:gridCol w:w="1843"/>
        <w:gridCol w:w="1701"/>
      </w:tblGrid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Территориальной программы (проценты)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03322" w:rsidRPr="00603322" w:rsidTr="00603322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22" w:rsidRPr="00603322" w:rsidRDefault="00603322" w:rsidP="00603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03322" w:rsidRPr="00603322" w:rsidRDefault="00603322" w:rsidP="006033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22" w:rsidRPr="00603322" w:rsidRDefault="00603322" w:rsidP="0060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03322" w:rsidRPr="00603322" w:rsidSect="00603322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22"/>
    <w:rsid w:val="002F4D90"/>
    <w:rsid w:val="00603322"/>
    <w:rsid w:val="00B2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2022-06-09T07:42:00Z</dcterms:created>
  <dcterms:modified xsi:type="dcterms:W3CDTF">2022-06-09T07:50:00Z</dcterms:modified>
</cp:coreProperties>
</file>